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9E" w:rsidRPr="00B03FDC" w:rsidRDefault="00AA4B2A">
      <w:r w:rsidRPr="00B03FDC">
        <w:t>CLIMATE CHANGE: FUTURE RISKS &amp; OPPORTUNITIES.  From Intergovernmental Panel on Climate Change (2014)</w:t>
      </w:r>
    </w:p>
    <w:p w:rsidR="00BD249E" w:rsidRPr="00B03FDC" w:rsidRDefault="003330E7">
      <w:pPr>
        <w:rPr>
          <w:rStyle w:val="Hyperlink"/>
        </w:rPr>
      </w:pPr>
      <w:hyperlink r:id="rId5" w:history="1">
        <w:r w:rsidR="00AA4B2A" w:rsidRPr="00B03FDC">
          <w:rPr>
            <w:rStyle w:val="Hyperlink"/>
          </w:rPr>
          <w:t>http://www.ipcc.ch/report/ar5/wg2/docs/WGIIAR5_SPM_Top_Level_Findings.pdf</w:t>
        </w:r>
      </w:hyperlink>
    </w:p>
    <w:p w:rsidR="00854F01" w:rsidRPr="00B03FDC" w:rsidRDefault="003330E7">
      <w:r>
        <w:rPr>
          <w:rStyle w:val="Hyperlink"/>
          <w:u w:val="none"/>
        </w:rPr>
        <w:t>PLEASE LEARN THE TWO ITEMS IN BOLD PRINT, AND THEN ALSO READ THROUGH THE REST AND CHOOSE TWO MORE OF THEM AS THE THIRD AND</w:t>
      </w:r>
      <w:bookmarkStart w:id="0" w:name="_GoBack"/>
      <w:bookmarkEnd w:id="0"/>
      <w:r>
        <w:rPr>
          <w:rStyle w:val="Hyperlink"/>
          <w:u w:val="none"/>
        </w:rPr>
        <w:t xml:space="preserve"> FOURTH ITEMS</w:t>
      </w:r>
    </w:p>
    <w:p w:rsidR="001A5D16" w:rsidRPr="00B03FDC" w:rsidRDefault="00BD249E" w:rsidP="001A5D16">
      <w:pPr>
        <w:pStyle w:val="ListParagraph"/>
        <w:numPr>
          <w:ilvl w:val="0"/>
          <w:numId w:val="1"/>
        </w:numPr>
        <w:rPr>
          <w:sz w:val="24"/>
          <w:szCs w:val="24"/>
        </w:rPr>
      </w:pPr>
      <w:r w:rsidRPr="00B03FDC">
        <w:rPr>
          <w:sz w:val="24"/>
          <w:szCs w:val="24"/>
        </w:rPr>
        <w:t xml:space="preserve">Freshwater-related risks of climate change increase significantly with increasing greenhouse gas concentrations (robust evidence, high agreement). </w:t>
      </w:r>
    </w:p>
    <w:p w:rsidR="001A5D16" w:rsidRPr="00B03FDC" w:rsidRDefault="00BD249E" w:rsidP="001A5D16">
      <w:pPr>
        <w:pStyle w:val="ListParagraph"/>
        <w:numPr>
          <w:ilvl w:val="0"/>
          <w:numId w:val="1"/>
        </w:numPr>
        <w:rPr>
          <w:sz w:val="24"/>
          <w:szCs w:val="24"/>
        </w:rPr>
      </w:pPr>
      <w:r w:rsidRPr="00B03FDC">
        <w:rPr>
          <w:sz w:val="24"/>
          <w:szCs w:val="24"/>
        </w:rPr>
        <w:t xml:space="preserve">Climate change over the 21st century is projected to reduce renewable surface water and groundwater resources significantly in most dry subtropical regions (robust evidence, high agreement), intensifying competition for water among sectors (limited evidence, medium agreement). </w:t>
      </w:r>
    </w:p>
    <w:p w:rsidR="00BD249E" w:rsidRPr="00B03FDC" w:rsidRDefault="00BD249E" w:rsidP="001A5D16">
      <w:pPr>
        <w:pStyle w:val="ListParagraph"/>
        <w:numPr>
          <w:ilvl w:val="0"/>
          <w:numId w:val="1"/>
        </w:numPr>
        <w:rPr>
          <w:sz w:val="24"/>
          <w:szCs w:val="24"/>
        </w:rPr>
      </w:pPr>
      <w:r w:rsidRPr="00B03FDC">
        <w:rPr>
          <w:sz w:val="24"/>
          <w:szCs w:val="24"/>
        </w:rPr>
        <w:t xml:space="preserve">A large fraction of both terrestrial and freshwater species faces increased extinction risk under projected climate change during and beyond the 21st century, especially as climate change interacts with other stressors, such as habitat modification, over-exploitation, pollution, and invasive species (high confidence). </w:t>
      </w:r>
    </w:p>
    <w:p w:rsidR="00BD249E" w:rsidRPr="003330E7" w:rsidRDefault="00BD249E" w:rsidP="001A5D16">
      <w:pPr>
        <w:pStyle w:val="ListParagraph"/>
        <w:numPr>
          <w:ilvl w:val="0"/>
          <w:numId w:val="1"/>
        </w:numPr>
        <w:rPr>
          <w:b/>
          <w:sz w:val="24"/>
          <w:szCs w:val="24"/>
        </w:rPr>
      </w:pPr>
      <w:r w:rsidRPr="003330E7">
        <w:rPr>
          <w:b/>
          <w:sz w:val="24"/>
          <w:szCs w:val="24"/>
        </w:rPr>
        <w:t xml:space="preserve">Due to sea level rise projected throughout the 21st century and beyond, coastal systems and low-lying areas will increasingly experience adverse impacts such as submergence, coastal flooding, and coastal erosion (very high confidence). </w:t>
      </w:r>
    </w:p>
    <w:p w:rsidR="00BD249E" w:rsidRPr="00B03FDC" w:rsidRDefault="00BD249E" w:rsidP="001A5D16">
      <w:pPr>
        <w:pStyle w:val="ListParagraph"/>
        <w:numPr>
          <w:ilvl w:val="0"/>
          <w:numId w:val="1"/>
        </w:numPr>
        <w:rPr>
          <w:sz w:val="24"/>
          <w:szCs w:val="24"/>
        </w:rPr>
      </w:pPr>
      <w:r w:rsidRPr="00B03FDC">
        <w:rPr>
          <w:sz w:val="24"/>
          <w:szCs w:val="24"/>
        </w:rPr>
        <w:t>Due to proj</w:t>
      </w:r>
      <w:r w:rsidR="001A5D16" w:rsidRPr="00B03FDC">
        <w:rPr>
          <w:sz w:val="24"/>
          <w:szCs w:val="24"/>
        </w:rPr>
        <w:t>ected climate change by the mid-</w:t>
      </w:r>
      <w:r w:rsidRPr="00B03FDC">
        <w:rPr>
          <w:sz w:val="24"/>
          <w:szCs w:val="24"/>
        </w:rPr>
        <w:t xml:space="preserve">21st century and beyond, global marine-species redistribution and marine-biodiversity reduction in sensitive regions will challenge the sustained provision of fisheries productivity and other ecosystem services (high confidence). </w:t>
      </w:r>
    </w:p>
    <w:p w:rsidR="00BD249E" w:rsidRPr="00B03FDC" w:rsidRDefault="00BD249E" w:rsidP="001A5D16">
      <w:pPr>
        <w:pStyle w:val="ListParagraph"/>
        <w:numPr>
          <w:ilvl w:val="0"/>
          <w:numId w:val="1"/>
        </w:numPr>
        <w:rPr>
          <w:sz w:val="24"/>
          <w:szCs w:val="24"/>
        </w:rPr>
      </w:pPr>
      <w:r w:rsidRPr="00B03FDC">
        <w:rPr>
          <w:sz w:val="24"/>
          <w:szCs w:val="24"/>
        </w:rPr>
        <w:t xml:space="preserve">For medium- to high-emission scenarios, ocean acidification poses substantial risks to marine ecosystems, especially polar ecosystems and coral reefs, associated with impacts on the physiology, behavior, and population dynamics of individual species from phytoplankton to animals (medium to high confidence). </w:t>
      </w:r>
    </w:p>
    <w:p w:rsidR="00BD249E" w:rsidRPr="00B03FDC" w:rsidRDefault="00BD249E" w:rsidP="001A5D16">
      <w:pPr>
        <w:pStyle w:val="ListParagraph"/>
        <w:numPr>
          <w:ilvl w:val="0"/>
          <w:numId w:val="1"/>
        </w:numPr>
        <w:rPr>
          <w:sz w:val="24"/>
          <w:szCs w:val="24"/>
        </w:rPr>
      </w:pPr>
      <w:r w:rsidRPr="00B03FDC">
        <w:rPr>
          <w:sz w:val="24"/>
          <w:szCs w:val="24"/>
        </w:rPr>
        <w:t>For the major crops (wheat, rice, and maize) in tropical and temperate regions, climate change without adaptation is projected to negatively impact production for local temperature increases of 2°C or more above late-20</w:t>
      </w:r>
      <w:r w:rsidRPr="00B03FDC">
        <w:rPr>
          <w:sz w:val="24"/>
          <w:szCs w:val="24"/>
          <w:vertAlign w:val="superscript"/>
        </w:rPr>
        <w:t>th</w:t>
      </w:r>
      <w:r w:rsidR="00F4429C" w:rsidRPr="00B03FDC">
        <w:rPr>
          <w:sz w:val="24"/>
          <w:szCs w:val="24"/>
        </w:rPr>
        <w:t xml:space="preserve"> </w:t>
      </w:r>
      <w:r w:rsidRPr="00B03FDC">
        <w:rPr>
          <w:sz w:val="24"/>
          <w:szCs w:val="24"/>
        </w:rPr>
        <w:t>century levels, although individual locations may benefit (medium confidence).</w:t>
      </w:r>
    </w:p>
    <w:p w:rsidR="00BD249E" w:rsidRPr="00B03FDC" w:rsidRDefault="00BD249E" w:rsidP="001A5D16">
      <w:pPr>
        <w:pStyle w:val="ListParagraph"/>
        <w:numPr>
          <w:ilvl w:val="0"/>
          <w:numId w:val="1"/>
        </w:numPr>
        <w:rPr>
          <w:sz w:val="24"/>
          <w:szCs w:val="24"/>
        </w:rPr>
      </w:pPr>
      <w:r w:rsidRPr="00B03FDC">
        <w:rPr>
          <w:sz w:val="24"/>
          <w:szCs w:val="24"/>
        </w:rPr>
        <w:t xml:space="preserve">All aspects of food security are potentially affected by climate change, including food access, utilization, and price stability (high confidence). </w:t>
      </w:r>
    </w:p>
    <w:p w:rsidR="00BD249E" w:rsidRPr="003330E7" w:rsidRDefault="00BD249E" w:rsidP="001A5D16">
      <w:pPr>
        <w:pStyle w:val="ListParagraph"/>
        <w:numPr>
          <w:ilvl w:val="0"/>
          <w:numId w:val="1"/>
        </w:numPr>
        <w:rPr>
          <w:b/>
          <w:sz w:val="24"/>
          <w:szCs w:val="24"/>
        </w:rPr>
      </w:pPr>
      <w:r w:rsidRPr="003330E7">
        <w:rPr>
          <w:b/>
          <w:sz w:val="24"/>
          <w:szCs w:val="24"/>
        </w:rPr>
        <w:t xml:space="preserve">Major future rural impacts are expected in the near term and beyond through impacts on water availability and supply, food security, and agricultural incomes, including shifts in production areas of food and non-food crops across the world (high confidence). </w:t>
      </w:r>
    </w:p>
    <w:p w:rsidR="00BD249E" w:rsidRPr="00B03FDC" w:rsidRDefault="00BD249E" w:rsidP="001A5D16">
      <w:pPr>
        <w:pStyle w:val="ListParagraph"/>
        <w:numPr>
          <w:ilvl w:val="0"/>
          <w:numId w:val="1"/>
        </w:numPr>
        <w:rPr>
          <w:sz w:val="24"/>
          <w:szCs w:val="24"/>
        </w:rPr>
      </w:pPr>
      <w:r w:rsidRPr="00B03FDC">
        <w:rPr>
          <w:sz w:val="24"/>
          <w:szCs w:val="24"/>
        </w:rPr>
        <w:t xml:space="preserve">Global economic impacts from climate change are difficult to estimate. </w:t>
      </w:r>
    </w:p>
    <w:p w:rsidR="00BD249E" w:rsidRPr="00B03FDC" w:rsidRDefault="00BD249E" w:rsidP="001A5D16">
      <w:pPr>
        <w:pStyle w:val="ListParagraph"/>
        <w:numPr>
          <w:ilvl w:val="0"/>
          <w:numId w:val="1"/>
        </w:numPr>
        <w:rPr>
          <w:sz w:val="24"/>
          <w:szCs w:val="24"/>
        </w:rPr>
      </w:pPr>
      <w:r w:rsidRPr="00B03FDC">
        <w:rPr>
          <w:sz w:val="24"/>
          <w:szCs w:val="24"/>
        </w:rPr>
        <w:t xml:space="preserve">Until mid-century, projected climate change will impact human health mainly by exacerbating health problems that already exist (very high confidence). Throughout the 21st century, climate change is expected to lead to increases in ill-health in many regions and especially in developing countries with low income, as compared to a baseline without climate change (high confidence). </w:t>
      </w:r>
    </w:p>
    <w:p w:rsidR="00BD249E" w:rsidRPr="00B03FDC" w:rsidRDefault="00BD249E" w:rsidP="001A5D16">
      <w:pPr>
        <w:pStyle w:val="ListParagraph"/>
        <w:numPr>
          <w:ilvl w:val="0"/>
          <w:numId w:val="1"/>
        </w:numPr>
        <w:rPr>
          <w:sz w:val="24"/>
          <w:szCs w:val="24"/>
        </w:rPr>
      </w:pPr>
      <w:r w:rsidRPr="00B03FDC">
        <w:rPr>
          <w:sz w:val="24"/>
          <w:szCs w:val="24"/>
        </w:rPr>
        <w:t xml:space="preserve">Climate change over the 21st century is projected to increase displacement of people (medium evidence, high agreement). </w:t>
      </w:r>
    </w:p>
    <w:p w:rsidR="00BD249E" w:rsidRPr="00B03FDC" w:rsidRDefault="00BD249E" w:rsidP="001A5D16">
      <w:pPr>
        <w:pStyle w:val="ListParagraph"/>
        <w:numPr>
          <w:ilvl w:val="0"/>
          <w:numId w:val="1"/>
        </w:numPr>
        <w:rPr>
          <w:sz w:val="24"/>
          <w:szCs w:val="24"/>
        </w:rPr>
      </w:pPr>
      <w:r w:rsidRPr="00B03FDC">
        <w:rPr>
          <w:sz w:val="24"/>
          <w:szCs w:val="24"/>
        </w:rPr>
        <w:t>Climate change can indirectly increase risks of violent conflicts in the form of civil war and inter-group violence by amplifying well-documented drivers of these conflicts such as poverty and economic shocks (medium confidence).</w:t>
      </w:r>
    </w:p>
    <w:sectPr w:rsidR="00BD249E" w:rsidRPr="00B03FDC" w:rsidSect="00BD24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D6B2F"/>
    <w:multiLevelType w:val="hybridMultilevel"/>
    <w:tmpl w:val="71705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9E"/>
    <w:rsid w:val="001A5D16"/>
    <w:rsid w:val="003330E7"/>
    <w:rsid w:val="0038002E"/>
    <w:rsid w:val="004646DD"/>
    <w:rsid w:val="00854F01"/>
    <w:rsid w:val="008970AE"/>
    <w:rsid w:val="009936BD"/>
    <w:rsid w:val="009E50BF"/>
    <w:rsid w:val="00AA4B2A"/>
    <w:rsid w:val="00B03FDC"/>
    <w:rsid w:val="00BD249E"/>
    <w:rsid w:val="00CD2263"/>
    <w:rsid w:val="00E94914"/>
    <w:rsid w:val="00EA6FCD"/>
    <w:rsid w:val="00F4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68784-7D87-479F-BAE9-BDE5836C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49E"/>
    <w:rPr>
      <w:rFonts w:ascii="Segoe UI" w:hAnsi="Segoe UI" w:cs="Segoe UI"/>
      <w:sz w:val="18"/>
      <w:szCs w:val="18"/>
    </w:rPr>
  </w:style>
  <w:style w:type="character" w:styleId="Hyperlink">
    <w:name w:val="Hyperlink"/>
    <w:basedOn w:val="DefaultParagraphFont"/>
    <w:uiPriority w:val="99"/>
    <w:unhideWhenUsed/>
    <w:rsid w:val="00AA4B2A"/>
    <w:rPr>
      <w:color w:val="0563C1" w:themeColor="hyperlink"/>
      <w:u w:val="single"/>
    </w:rPr>
  </w:style>
  <w:style w:type="paragraph" w:styleId="ListParagraph">
    <w:name w:val="List Paragraph"/>
    <w:basedOn w:val="Normal"/>
    <w:uiPriority w:val="34"/>
    <w:qFormat/>
    <w:rsid w:val="001A5D16"/>
    <w:pPr>
      <w:ind w:left="720"/>
      <w:contextualSpacing/>
    </w:pPr>
  </w:style>
  <w:style w:type="character" w:styleId="FollowedHyperlink">
    <w:name w:val="FollowedHyperlink"/>
    <w:basedOn w:val="DefaultParagraphFont"/>
    <w:uiPriority w:val="99"/>
    <w:semiHidden/>
    <w:unhideWhenUsed/>
    <w:rsid w:val="00380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cc.ch/report/ar5/wg2/docs/WGIIAR5_SPM_Top_Level_Finding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12</cp:revision>
  <cp:lastPrinted>2018-11-14T16:54:00Z</cp:lastPrinted>
  <dcterms:created xsi:type="dcterms:W3CDTF">2016-03-01T18:32:00Z</dcterms:created>
  <dcterms:modified xsi:type="dcterms:W3CDTF">2018-11-28T19:13:00Z</dcterms:modified>
</cp:coreProperties>
</file>